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9FC24" w14:textId="77777777" w:rsidR="00545695" w:rsidRDefault="00545695" w:rsidP="00545695">
      <w:pPr>
        <w:ind w:left="4248" w:firstLine="708"/>
      </w:pPr>
      <w:r>
        <w:t>Náčelník Generálního štábu AČR</w:t>
      </w:r>
    </w:p>
    <w:p w14:paraId="1FD980A9" w14:textId="77777777" w:rsidR="00922ED2" w:rsidRDefault="00545695" w:rsidP="00922ED2">
      <w:pPr>
        <w:spacing w:after="0" w:line="240" w:lineRule="auto"/>
        <w:ind w:left="4956"/>
      </w:pPr>
      <w:r>
        <w:t>prostřednictvím ředitele Agentury personalistiky</w:t>
      </w:r>
      <w:r w:rsidR="009B58DA">
        <w:tab/>
      </w:r>
    </w:p>
    <w:p w14:paraId="46F3566D" w14:textId="77777777" w:rsidR="00922ED2" w:rsidRDefault="00922ED2" w:rsidP="00922ED2">
      <w:pPr>
        <w:spacing w:after="0" w:line="240" w:lineRule="auto"/>
        <w:ind w:left="4956"/>
      </w:pPr>
      <w:r>
        <w:t>náměstí Svobody 471/4</w:t>
      </w:r>
    </w:p>
    <w:p w14:paraId="5350BBB9" w14:textId="00476FC3" w:rsidR="00545695" w:rsidRDefault="00922ED2" w:rsidP="00922ED2">
      <w:pPr>
        <w:spacing w:after="0" w:line="240" w:lineRule="auto"/>
        <w:ind w:left="4956"/>
      </w:pPr>
      <w:r>
        <w:t>160 01 Praha 6 – Bubeneč</w:t>
      </w:r>
      <w:r w:rsidR="009B58DA">
        <w:tab/>
      </w:r>
      <w:r w:rsidR="009B58DA">
        <w:tab/>
      </w:r>
      <w:r w:rsidR="009B58DA">
        <w:tab/>
      </w:r>
    </w:p>
    <w:p w14:paraId="443AEB39" w14:textId="77777777" w:rsidR="004C5749" w:rsidRDefault="009B58DA">
      <w:r>
        <w:tab/>
      </w:r>
      <w:r>
        <w:tab/>
      </w:r>
      <w:r>
        <w:tab/>
      </w:r>
      <w:r>
        <w:tab/>
      </w:r>
      <w:r>
        <w:tab/>
      </w:r>
      <w:r>
        <w:tab/>
      </w:r>
      <w:r>
        <w:tab/>
      </w:r>
    </w:p>
    <w:p w14:paraId="458D518B" w14:textId="373ED889" w:rsidR="009B58DA" w:rsidRDefault="00FA3D0A">
      <w:r>
        <w:tab/>
      </w:r>
      <w:r>
        <w:tab/>
      </w:r>
      <w:r>
        <w:tab/>
      </w:r>
      <w:r>
        <w:tab/>
      </w:r>
      <w:r>
        <w:tab/>
      </w:r>
      <w:r>
        <w:tab/>
      </w:r>
      <w:r>
        <w:tab/>
        <w:t xml:space="preserve">V </w:t>
      </w:r>
      <w:r w:rsidR="00F81F87">
        <w:t xml:space="preserve">…. </w:t>
      </w:r>
      <w:r>
        <w:t xml:space="preserve"> dne </w:t>
      </w:r>
      <w:r w:rsidR="00F81F87">
        <w:t xml:space="preserve">……. </w:t>
      </w:r>
    </w:p>
    <w:p w14:paraId="0754EB37" w14:textId="65B3B981" w:rsidR="00FA3D0A" w:rsidRDefault="00545695">
      <w:r>
        <w:t xml:space="preserve">Ke sp. zn. </w:t>
      </w:r>
      <w:r w:rsidR="00F81F87">
        <w:t xml:space="preserve">….. </w:t>
      </w:r>
      <w:r>
        <w:t xml:space="preserve"> </w:t>
      </w:r>
    </w:p>
    <w:p w14:paraId="161542BA" w14:textId="48AD9823" w:rsidR="00545695" w:rsidRDefault="00545695"/>
    <w:p w14:paraId="46B243E4" w14:textId="33BC9E9B" w:rsidR="00545695" w:rsidRDefault="00545695" w:rsidP="00545695">
      <w:pPr>
        <w:ind w:left="1410" w:hanging="1410"/>
      </w:pPr>
      <w:r>
        <w:t>Odvolatel:</w:t>
      </w:r>
      <w:r>
        <w:tab/>
      </w:r>
      <w:r w:rsidR="00F81F87">
        <w:t>hodnost, jméno, osobní číslo, bydliště</w:t>
      </w:r>
    </w:p>
    <w:p w14:paraId="2AF99682" w14:textId="4EB6A615" w:rsidR="00A21563" w:rsidRDefault="00A21563" w:rsidP="009B58DA">
      <w:pPr>
        <w:jc w:val="center"/>
        <w:rPr>
          <w:b/>
          <w:bCs/>
        </w:rPr>
      </w:pPr>
    </w:p>
    <w:p w14:paraId="500E545C" w14:textId="12F97E96" w:rsidR="00545695" w:rsidRDefault="00545695" w:rsidP="009B58DA">
      <w:pPr>
        <w:jc w:val="center"/>
        <w:rPr>
          <w:b/>
          <w:bCs/>
        </w:rPr>
      </w:pPr>
      <w:r>
        <w:rPr>
          <w:b/>
          <w:bCs/>
        </w:rPr>
        <w:t xml:space="preserve">ODVOLÁNÍ PROTI PERSONÁLNÍMU ROZKAZU ZE DNE </w:t>
      </w:r>
      <w:r w:rsidR="00F81F87">
        <w:rPr>
          <w:b/>
          <w:bCs/>
        </w:rPr>
        <w:t xml:space="preserve">……. </w:t>
      </w:r>
      <w:r>
        <w:rPr>
          <w:b/>
          <w:bCs/>
        </w:rPr>
        <w:t xml:space="preserve"> sp. zn. </w:t>
      </w:r>
      <w:r w:rsidR="00F81F87">
        <w:rPr>
          <w:b/>
          <w:bCs/>
        </w:rPr>
        <w:t xml:space="preserve">…….. </w:t>
      </w:r>
    </w:p>
    <w:p w14:paraId="75611540" w14:textId="28792293" w:rsidR="00545695" w:rsidRDefault="00545695" w:rsidP="009B58DA">
      <w:pPr>
        <w:jc w:val="center"/>
        <w:rPr>
          <w:b/>
          <w:bCs/>
        </w:rPr>
      </w:pPr>
    </w:p>
    <w:p w14:paraId="4A3031A6" w14:textId="1FDEEF16" w:rsidR="00545695" w:rsidRDefault="00545695" w:rsidP="009B58DA">
      <w:pPr>
        <w:jc w:val="center"/>
        <w:rPr>
          <w:b/>
          <w:bCs/>
        </w:rPr>
      </w:pPr>
      <w:r>
        <w:rPr>
          <w:b/>
          <w:bCs/>
        </w:rPr>
        <w:t xml:space="preserve">I. </w:t>
      </w:r>
    </w:p>
    <w:p w14:paraId="4686E161" w14:textId="4E7486ED" w:rsidR="00545695" w:rsidRDefault="00545695" w:rsidP="00545695">
      <w:pPr>
        <w:jc w:val="both"/>
      </w:pPr>
      <w:r>
        <w:t xml:space="preserve">Dne </w:t>
      </w:r>
      <w:r w:rsidR="00F81F87">
        <w:t>…….</w:t>
      </w:r>
      <w:r>
        <w:t xml:space="preserve"> mi byl </w:t>
      </w:r>
      <w:r w:rsidR="00F81F87">
        <w:t>(</w:t>
      </w:r>
      <w:r>
        <w:t>telefonicky</w:t>
      </w:r>
      <w:r w:rsidR="00F81F87">
        <w:t>)</w:t>
      </w:r>
      <w:r>
        <w:t xml:space="preserve"> oznámen personální rozkaz ze dne </w:t>
      </w:r>
      <w:r w:rsidR="00F81F87">
        <w:t>…..</w:t>
      </w:r>
      <w:r>
        <w:t xml:space="preserve">, sp. zn. </w:t>
      </w:r>
      <w:r w:rsidR="00F81F87">
        <w:t>……..</w:t>
      </w:r>
      <w:r w:rsidR="00D01E69">
        <w:t xml:space="preserve"> (bez uvedení data vydání)</w:t>
      </w:r>
      <w:r>
        <w:t xml:space="preserve">, kterým jsem byl určen do dispozice s odůvodněním, </w:t>
      </w:r>
      <w:r w:rsidR="002F7EE4">
        <w:t xml:space="preserve">že na základě </w:t>
      </w:r>
      <w:r w:rsidR="002F7EE4" w:rsidRPr="002F7EE4">
        <w:rPr>
          <w:i/>
          <w:iCs/>
        </w:rPr>
        <w:t xml:space="preserve">Oznámení o nevystavení posudku o zdravotní způsobilosti č.j. MO 298190/2022-684806 ze dne 21. července 2022 mi nebyl vystaven posudek o zdravotní způsobilosti, </w:t>
      </w:r>
      <w:r w:rsidR="002F7EE4">
        <w:rPr>
          <w:i/>
          <w:iCs/>
        </w:rPr>
        <w:t xml:space="preserve">protože zdravotní stav jmenovaného nesplňuje požadavky nebo předpoklady, ke kterým byl posuzován. </w:t>
      </w:r>
    </w:p>
    <w:p w14:paraId="193675EE" w14:textId="06A4F795" w:rsidR="002F7EE4" w:rsidRPr="002F7EE4" w:rsidRDefault="002F7EE4" w:rsidP="002F7EE4">
      <w:pPr>
        <w:jc w:val="center"/>
        <w:rPr>
          <w:b/>
          <w:bCs/>
        </w:rPr>
      </w:pPr>
      <w:r w:rsidRPr="002F7EE4">
        <w:rPr>
          <w:b/>
          <w:bCs/>
        </w:rPr>
        <w:t xml:space="preserve">II. </w:t>
      </w:r>
    </w:p>
    <w:p w14:paraId="03785AF1" w14:textId="33FB4DCF" w:rsidR="004C5749" w:rsidRDefault="002F7EE4" w:rsidP="002F7EE4">
      <w:pPr>
        <w:jc w:val="both"/>
      </w:pPr>
      <w:r>
        <w:t xml:space="preserve">Proti tomuto personálnímu rozkazu podávám v zákonné pětidenní lhůtě odvolání, které odůvodňuji následovně: </w:t>
      </w:r>
    </w:p>
    <w:p w14:paraId="4AE4C95A" w14:textId="0C2E0A24" w:rsidR="002F7EE4" w:rsidRDefault="002F7EE4" w:rsidP="002F7EE4">
      <w:pPr>
        <w:jc w:val="both"/>
      </w:pPr>
      <w:r>
        <w:t>1)</w:t>
      </w:r>
      <w:r>
        <w:tab/>
        <w:t xml:space="preserve">Posudek o zdravotní způsobilosti mi </w:t>
      </w:r>
      <w:r w:rsidR="00900CA4">
        <w:t>ne</w:t>
      </w:r>
      <w:r>
        <w:t xml:space="preserve">byl vydán nikoli z důvodu, že bych se nedostavil k prohlídce nebo vyšetření, ale proto, že posudkový lékař z evidence očkování dovodil, že jsem se nepodrobil očkováním stanoveným hlavní hygieničkou v odborném pokynu č.j. MO 83597/2021-1457 ze dne 23. března 2021. </w:t>
      </w:r>
    </w:p>
    <w:p w14:paraId="3FB72C9A" w14:textId="0CFD2A77" w:rsidR="002F7EE4" w:rsidRDefault="002F7EE4" w:rsidP="002F7EE4">
      <w:pPr>
        <w:jc w:val="both"/>
      </w:pPr>
      <w:r>
        <w:t xml:space="preserve">2) </w:t>
      </w:r>
      <w:r>
        <w:tab/>
        <w:t xml:space="preserve">Dle § 43 odst. 7 zákona o č. 373/2011 Sb., o specifických zdravotních službách se posudek nevydá pouze v případě, </w:t>
      </w:r>
      <w:r w:rsidRPr="00886A25">
        <w:t xml:space="preserve">jestliže se posuzovaná osoba odmítne podrobit </w:t>
      </w:r>
      <w:r w:rsidRPr="00886A25">
        <w:rPr>
          <w:u w:val="single"/>
        </w:rPr>
        <w:t>lékařské prohlídce nebo vyšetření</w:t>
      </w:r>
      <w:r w:rsidRPr="00886A25">
        <w:t>, které je její součástí</w:t>
      </w:r>
      <w:r>
        <w:t xml:space="preserve">. </w:t>
      </w:r>
    </w:p>
    <w:p w14:paraId="1D33D7B2" w14:textId="5D47BC34" w:rsidR="00900CA4" w:rsidRDefault="002F7EE4" w:rsidP="00900CA4">
      <w:pPr>
        <w:jc w:val="both"/>
      </w:pPr>
      <w:r>
        <w:t xml:space="preserve">3) </w:t>
      </w:r>
      <w:r>
        <w:tab/>
      </w:r>
      <w:r w:rsidR="00900CA4">
        <w:t xml:space="preserve">Dle § 43 odst. 1 písm. a) zák. č. 373/2011 Sb., o specifických zdravotních službách, musí být posudek vydán, nestanoví-li tento zákon nebo jiný právní předpis jinak, nejdéle do 10 pracovních dnů ode dne obdržení nebo ústního podání žádosti podle § 42 odst. 1. </w:t>
      </w:r>
    </w:p>
    <w:p w14:paraId="7C4C1E01" w14:textId="59E1BC2A" w:rsidR="00900CA4" w:rsidRPr="00900CA4" w:rsidRDefault="00900CA4" w:rsidP="00900CA4">
      <w:pPr>
        <w:jc w:val="both"/>
        <w:rPr>
          <w:b/>
          <w:bCs/>
        </w:rPr>
      </w:pPr>
      <w:r>
        <w:t xml:space="preserve">4) </w:t>
      </w:r>
      <w:r>
        <w:tab/>
        <w:t>Dle § 43 odst. 8 zák. č. 373/2011 Sb. se</w:t>
      </w:r>
      <w:r w:rsidRPr="00900CA4">
        <w:t xml:space="preserve"> hledí se na</w:t>
      </w:r>
      <w:r>
        <w:t xml:space="preserve"> posuzovanou osobu </w:t>
      </w:r>
      <w:r w:rsidRPr="00900CA4">
        <w:t>pro činnost, pro kterou měla být zdravotně posouzena, jako na zdravotně nezpůsobilou, nebo jako na osobu, která pozbyla dlouhodobě zdravotní způsobilost vykonávat dosavadní práci, anebo jako na osobu, jejíž zdravotní stav nesplňuje předpoklady nebo požadavky, ke kterým byl posuzován</w:t>
      </w:r>
      <w:r>
        <w:t xml:space="preserve">, </w:t>
      </w:r>
      <w:r w:rsidRPr="00900CA4">
        <w:rPr>
          <w:b/>
          <w:bCs/>
        </w:rPr>
        <w:lastRenderedPageBreak/>
        <w:t xml:space="preserve">pouze v případě, pokud posudek o zdravotní způsobilosti nebyl vydán podle </w:t>
      </w:r>
      <w:r w:rsidRPr="00900CA4">
        <w:rPr>
          <w:b/>
          <w:bCs/>
          <w:u w:val="single"/>
        </w:rPr>
        <w:t>odst. 7</w:t>
      </w:r>
      <w:r w:rsidRPr="00900CA4">
        <w:rPr>
          <w:b/>
          <w:bCs/>
        </w:rPr>
        <w:t>, tedy výhradně v případě, že se odmítne podrobit lékařské prohlídce nebo vyšetření</w:t>
      </w:r>
      <w:r w:rsidRPr="00900CA4">
        <w:t xml:space="preserve">. </w:t>
      </w:r>
    </w:p>
    <w:p w14:paraId="4760542F" w14:textId="623F5F21" w:rsidR="00900CA4" w:rsidRDefault="00900CA4" w:rsidP="00900CA4">
      <w:pPr>
        <w:jc w:val="both"/>
        <w:rPr>
          <w:b/>
          <w:bCs/>
        </w:rPr>
      </w:pPr>
      <w:r w:rsidRPr="00900CA4">
        <w:rPr>
          <w:b/>
          <w:bCs/>
        </w:rPr>
        <w:t xml:space="preserve">5) </w:t>
      </w:r>
      <w:r w:rsidRPr="00900CA4">
        <w:rPr>
          <w:b/>
          <w:bCs/>
        </w:rPr>
        <w:tab/>
        <w:t xml:space="preserve">Lékařské prohlídce jsem se ale podrobil a k vyšetření poskytl veškerou potřebnou součinnost. K nevydání posudku o zdravotní způsobilosti tak neexistuje žádný zákonný důvod. </w:t>
      </w:r>
    </w:p>
    <w:p w14:paraId="343171EF" w14:textId="7B38ED47" w:rsidR="00E20006" w:rsidRDefault="00E20006" w:rsidP="00900CA4">
      <w:pPr>
        <w:jc w:val="both"/>
      </w:pPr>
      <w:r w:rsidRPr="00E20006">
        <w:t xml:space="preserve">6) </w:t>
      </w:r>
      <w:r w:rsidR="009419EE">
        <w:tab/>
      </w:r>
      <w:r w:rsidRPr="00E20006">
        <w:t xml:space="preserve">Dle </w:t>
      </w:r>
      <w:r>
        <w:t xml:space="preserve">§ 7 odst. 1 vyhlášky ministerstva obrany č. 357/2016 Sb. o zdravotní způsobilosti k výkonu vojenské činné služby, obsahuje lékařská prohlídka: </w:t>
      </w:r>
    </w:p>
    <w:p w14:paraId="11F0C6F1" w14:textId="77777777" w:rsidR="00E20006" w:rsidRDefault="00E20006" w:rsidP="00E20006">
      <w:pPr>
        <w:spacing w:after="0"/>
        <w:ind w:left="709"/>
        <w:jc w:val="both"/>
      </w:pPr>
      <w:r>
        <w:t>a) ověření a doplnění údajů z rodinné, osobní a pracovní anamnézy,</w:t>
      </w:r>
    </w:p>
    <w:p w14:paraId="5D0CD3A1" w14:textId="77777777" w:rsidR="00E20006" w:rsidRDefault="00E20006" w:rsidP="00E20006">
      <w:pPr>
        <w:spacing w:after="0"/>
        <w:ind w:left="709"/>
        <w:jc w:val="both"/>
      </w:pPr>
      <w:r>
        <w:t>b) antropometrická měření,</w:t>
      </w:r>
    </w:p>
    <w:p w14:paraId="501FBDA6" w14:textId="77777777" w:rsidR="00E20006" w:rsidRDefault="00E20006" w:rsidP="00E20006">
      <w:pPr>
        <w:spacing w:after="0"/>
        <w:ind w:left="709"/>
        <w:jc w:val="both"/>
      </w:pPr>
      <w:r>
        <w:t>c) základní chemické vyšetření moči ke zjištění přítomnosti bílkoviny, glukózy, ketonů, urobilinogenu, krve a pH moči,</w:t>
      </w:r>
    </w:p>
    <w:p w14:paraId="6CBB744D" w14:textId="77777777" w:rsidR="00E20006" w:rsidRDefault="00E20006" w:rsidP="00E20006">
      <w:pPr>
        <w:spacing w:after="0"/>
        <w:ind w:left="709"/>
        <w:jc w:val="both"/>
      </w:pPr>
      <w:r>
        <w:t>d) fyzikální vyšetření interního charakteru včetně změření krevního tlaku a tepu,</w:t>
      </w:r>
    </w:p>
    <w:p w14:paraId="6E69967F" w14:textId="77777777" w:rsidR="00E20006" w:rsidRDefault="00E20006" w:rsidP="00E20006">
      <w:pPr>
        <w:spacing w:after="0"/>
        <w:ind w:left="709"/>
        <w:jc w:val="both"/>
      </w:pPr>
      <w:r>
        <w:t>e) orientační neurologické vyšetření a</w:t>
      </w:r>
    </w:p>
    <w:p w14:paraId="4D6F86E4" w14:textId="63BF6EF6" w:rsidR="00E20006" w:rsidRPr="00E20006" w:rsidRDefault="00E20006" w:rsidP="00E20006">
      <w:pPr>
        <w:spacing w:after="0"/>
        <w:ind w:left="709"/>
        <w:jc w:val="both"/>
      </w:pPr>
      <w:r>
        <w:t>f) orientační vyšetření sluchu a zraku, včetně vyšetření barvocitu.</w:t>
      </w:r>
    </w:p>
    <w:p w14:paraId="7BC54F2A" w14:textId="2450B22C" w:rsidR="00E20006" w:rsidRDefault="009419EE" w:rsidP="009419EE">
      <w:pPr>
        <w:spacing w:before="120" w:after="0"/>
        <w:jc w:val="both"/>
      </w:pPr>
      <w:r w:rsidRPr="009419EE">
        <w:t>7)</w:t>
      </w:r>
      <w:r w:rsidRPr="009419EE">
        <w:tab/>
      </w:r>
      <w:r>
        <w:t xml:space="preserve">Dle § 10 vyhlášky je pak obsahem preventivní roční lékařské prohlídky </w:t>
      </w:r>
      <w:r w:rsidRPr="009419EE">
        <w:t>vojáka z povolání je doplnění údajů jeho rodinné, osobní a pracovní anamnézy se zaměřením na zjištění změn v jeho zdravotní způsobilosti a posouzení vlivu rizikových faktorů příslušného služebního zařazení na jeho zdraví; rizikovými faktory se pro účely této vyhlášky rozumí skutečnosti, které jsou součástí výkonu služby vojáka z povolání a které mohou být z hlediska vědeckých poznatků iniciačním mechanismem pro vznik zejména ischemické choroby srdeční, hypertenze, poruchy metabolismu tuků nebo metabolického syndromu.</w:t>
      </w:r>
      <w:r>
        <w:t xml:space="preserve"> </w:t>
      </w:r>
    </w:p>
    <w:p w14:paraId="093C9D0C" w14:textId="762A6F53" w:rsidR="009419EE" w:rsidRDefault="009419EE" w:rsidP="009419EE">
      <w:pPr>
        <w:spacing w:before="120" w:after="0"/>
        <w:jc w:val="both"/>
      </w:pPr>
      <w:r>
        <w:t xml:space="preserve">8) Obsahem rozšířené preventivní prohlídky vojáka z povolání jsou vyšetření dle § 7 odst. 1 a dále pak </w:t>
      </w:r>
    </w:p>
    <w:p w14:paraId="7CA4A8AF" w14:textId="77777777" w:rsidR="009419EE" w:rsidRDefault="009419EE" w:rsidP="009419EE">
      <w:pPr>
        <w:spacing w:after="0" w:line="240" w:lineRule="auto"/>
        <w:ind w:left="709"/>
        <w:jc w:val="both"/>
      </w:pPr>
      <w:r>
        <w:t>a) laboratorní vyšetření krve a krevního séra v rozsahu:</w:t>
      </w:r>
    </w:p>
    <w:p w14:paraId="53E848BE" w14:textId="77777777" w:rsidR="009419EE" w:rsidRDefault="009419EE" w:rsidP="009419EE">
      <w:pPr>
        <w:spacing w:after="0" w:line="240" w:lineRule="auto"/>
        <w:ind w:left="709"/>
        <w:jc w:val="both"/>
      </w:pPr>
      <w:r>
        <w:t>1. krevní obraz a diferenciální počet leukocytů,</w:t>
      </w:r>
    </w:p>
    <w:p w14:paraId="113B94F1" w14:textId="77777777" w:rsidR="009419EE" w:rsidRDefault="009419EE" w:rsidP="009419EE">
      <w:pPr>
        <w:spacing w:after="0" w:line="240" w:lineRule="auto"/>
        <w:ind w:left="709"/>
        <w:jc w:val="both"/>
      </w:pPr>
      <w:r>
        <w:t>2. sedimentace erytrocytů,</w:t>
      </w:r>
    </w:p>
    <w:p w14:paraId="35CD94F4" w14:textId="77777777" w:rsidR="009419EE" w:rsidRDefault="009419EE" w:rsidP="009419EE">
      <w:pPr>
        <w:spacing w:after="0" w:line="240" w:lineRule="auto"/>
        <w:ind w:left="709"/>
        <w:jc w:val="both"/>
      </w:pPr>
      <w:r>
        <w:t>3. celkový cholesterol,</w:t>
      </w:r>
    </w:p>
    <w:p w14:paraId="2AD81F59" w14:textId="77777777" w:rsidR="009419EE" w:rsidRDefault="009419EE" w:rsidP="009419EE">
      <w:pPr>
        <w:spacing w:after="0" w:line="240" w:lineRule="auto"/>
        <w:ind w:left="709"/>
        <w:jc w:val="both"/>
      </w:pPr>
      <w:r>
        <w:t>4. HDL-cholesterol,</w:t>
      </w:r>
    </w:p>
    <w:p w14:paraId="4037507B" w14:textId="77777777" w:rsidR="009419EE" w:rsidRDefault="009419EE" w:rsidP="009419EE">
      <w:pPr>
        <w:spacing w:after="0" w:line="240" w:lineRule="auto"/>
        <w:ind w:left="709"/>
        <w:jc w:val="both"/>
      </w:pPr>
      <w:r>
        <w:t>5. LDL-cholesterol,</w:t>
      </w:r>
    </w:p>
    <w:p w14:paraId="25174C89" w14:textId="77777777" w:rsidR="009419EE" w:rsidRDefault="009419EE" w:rsidP="009419EE">
      <w:pPr>
        <w:spacing w:after="0" w:line="240" w:lineRule="auto"/>
        <w:ind w:left="709"/>
        <w:jc w:val="both"/>
      </w:pPr>
      <w:r>
        <w:t>6. triacylglyceroly,</w:t>
      </w:r>
    </w:p>
    <w:p w14:paraId="09DFF30C" w14:textId="77777777" w:rsidR="009419EE" w:rsidRDefault="009419EE" w:rsidP="009419EE">
      <w:pPr>
        <w:spacing w:after="0" w:line="240" w:lineRule="auto"/>
        <w:ind w:left="709"/>
        <w:jc w:val="both"/>
      </w:pPr>
      <w:r>
        <w:t>7. glukóza,</w:t>
      </w:r>
    </w:p>
    <w:p w14:paraId="6F7BCD93" w14:textId="77777777" w:rsidR="009419EE" w:rsidRDefault="009419EE" w:rsidP="009419EE">
      <w:pPr>
        <w:spacing w:after="0" w:line="240" w:lineRule="auto"/>
        <w:ind w:left="709"/>
        <w:jc w:val="both"/>
      </w:pPr>
      <w:r>
        <w:t>8. alanintransamináza,</w:t>
      </w:r>
    </w:p>
    <w:p w14:paraId="7B8A85C5" w14:textId="77777777" w:rsidR="009419EE" w:rsidRDefault="009419EE" w:rsidP="009419EE">
      <w:pPr>
        <w:spacing w:after="0" w:line="240" w:lineRule="auto"/>
        <w:ind w:left="709"/>
        <w:jc w:val="both"/>
      </w:pPr>
      <w:r>
        <w:t>9. gamaglutamyltransferáza,</w:t>
      </w:r>
    </w:p>
    <w:p w14:paraId="0C3AE30F" w14:textId="77777777" w:rsidR="009419EE" w:rsidRDefault="009419EE" w:rsidP="009419EE">
      <w:pPr>
        <w:spacing w:after="0" w:line="240" w:lineRule="auto"/>
        <w:ind w:left="709"/>
        <w:jc w:val="both"/>
      </w:pPr>
      <w:r>
        <w:t>10. aspartátaminotransferáza,</w:t>
      </w:r>
    </w:p>
    <w:p w14:paraId="4A25801A" w14:textId="77777777" w:rsidR="009419EE" w:rsidRDefault="009419EE" w:rsidP="009419EE">
      <w:pPr>
        <w:spacing w:after="0" w:line="240" w:lineRule="auto"/>
        <w:ind w:left="709"/>
        <w:jc w:val="both"/>
      </w:pPr>
      <w:r>
        <w:t>11. bilirubin,</w:t>
      </w:r>
    </w:p>
    <w:p w14:paraId="1BB0547E" w14:textId="77777777" w:rsidR="009419EE" w:rsidRDefault="009419EE" w:rsidP="009419EE">
      <w:pPr>
        <w:spacing w:after="0" w:line="240" w:lineRule="auto"/>
        <w:ind w:left="709"/>
        <w:jc w:val="both"/>
      </w:pPr>
      <w:r>
        <w:t>12. kreatinin,</w:t>
      </w:r>
    </w:p>
    <w:p w14:paraId="56A62097" w14:textId="77777777" w:rsidR="009419EE" w:rsidRDefault="009419EE" w:rsidP="009419EE">
      <w:pPr>
        <w:spacing w:after="0" w:line="240" w:lineRule="auto"/>
        <w:ind w:left="709"/>
        <w:jc w:val="both"/>
      </w:pPr>
      <w:r>
        <w:t>13. urea,</w:t>
      </w:r>
    </w:p>
    <w:p w14:paraId="3E3D3140" w14:textId="77777777" w:rsidR="009419EE" w:rsidRDefault="009419EE" w:rsidP="009419EE">
      <w:pPr>
        <w:spacing w:after="0" w:line="240" w:lineRule="auto"/>
        <w:ind w:left="709"/>
        <w:jc w:val="both"/>
      </w:pPr>
      <w:r>
        <w:t>14. kyselina močová a</w:t>
      </w:r>
    </w:p>
    <w:p w14:paraId="4C972969" w14:textId="77777777" w:rsidR="009419EE" w:rsidRDefault="009419EE" w:rsidP="009419EE">
      <w:pPr>
        <w:spacing w:after="0" w:line="240" w:lineRule="auto"/>
        <w:ind w:left="709"/>
        <w:jc w:val="both"/>
      </w:pPr>
      <w:r>
        <w:t>15. prostatický specifický antigen u mužů nad 40 let,</w:t>
      </w:r>
    </w:p>
    <w:p w14:paraId="5E1C6DB8" w14:textId="77777777" w:rsidR="009419EE" w:rsidRDefault="009419EE" w:rsidP="009419EE">
      <w:pPr>
        <w:spacing w:after="0" w:line="240" w:lineRule="auto"/>
        <w:ind w:left="709"/>
        <w:jc w:val="both"/>
      </w:pPr>
      <w:r>
        <w:t>b) klidový elektrokardiogram,</w:t>
      </w:r>
    </w:p>
    <w:p w14:paraId="03AA1E1D" w14:textId="77777777" w:rsidR="009419EE" w:rsidRDefault="009419EE" w:rsidP="009419EE">
      <w:pPr>
        <w:spacing w:after="0" w:line="240" w:lineRule="auto"/>
        <w:ind w:left="709"/>
        <w:jc w:val="both"/>
      </w:pPr>
      <w:r>
        <w:t>c) diferencované preventivní onkologické vyšetření v rozsahu:</w:t>
      </w:r>
    </w:p>
    <w:p w14:paraId="3051F216" w14:textId="77777777" w:rsidR="009419EE" w:rsidRDefault="009419EE" w:rsidP="009419EE">
      <w:pPr>
        <w:spacing w:after="0" w:line="240" w:lineRule="auto"/>
        <w:ind w:left="709"/>
        <w:jc w:val="both"/>
      </w:pPr>
      <w:r>
        <w:t>1. vyšetření konečníku,</w:t>
      </w:r>
    </w:p>
    <w:p w14:paraId="52C10EA2" w14:textId="77777777" w:rsidR="009419EE" w:rsidRDefault="009419EE" w:rsidP="009419EE">
      <w:pPr>
        <w:spacing w:after="0" w:line="240" w:lineRule="auto"/>
        <w:ind w:left="709"/>
        <w:jc w:val="both"/>
      </w:pPr>
      <w:r>
        <w:t>2. vyšetření stolice na okultní krvácení u osob nad 40 let věku, a to s četností jednou za 2 roky; vyšetření stolice na okultní krvácení lze u vojáka z povolání staršího 55 let věku nahradit provedením screeningového kolonoskopického vyšetření, které se provádí s četností jednou za 5 let,</w:t>
      </w:r>
    </w:p>
    <w:p w14:paraId="535B321E" w14:textId="77777777" w:rsidR="009419EE" w:rsidRDefault="009419EE" w:rsidP="009419EE">
      <w:pPr>
        <w:spacing w:after="0" w:line="240" w:lineRule="auto"/>
        <w:ind w:left="709"/>
        <w:jc w:val="both"/>
      </w:pPr>
      <w:r>
        <w:lastRenderedPageBreak/>
        <w:t>d) mamografické vyšetření u žen nad 40 let věku, a to s četností jednou za 2 roky,</w:t>
      </w:r>
    </w:p>
    <w:p w14:paraId="6C9E9DDC" w14:textId="77777777" w:rsidR="009419EE" w:rsidRDefault="009419EE" w:rsidP="009419EE">
      <w:pPr>
        <w:spacing w:after="0" w:line="240" w:lineRule="auto"/>
        <w:ind w:left="709"/>
        <w:jc w:val="both"/>
      </w:pPr>
      <w:r>
        <w:t>e) ultrazvukové vyšetření prsní žlázy, a to u žen:</w:t>
      </w:r>
    </w:p>
    <w:p w14:paraId="1C1AEF85" w14:textId="77777777" w:rsidR="009419EE" w:rsidRDefault="009419EE" w:rsidP="009419EE">
      <w:pPr>
        <w:spacing w:after="0" w:line="240" w:lineRule="auto"/>
        <w:ind w:left="709"/>
        <w:jc w:val="both"/>
      </w:pPr>
      <w:r>
        <w:t>1. ve věku 35 až 40 let každoročně,</w:t>
      </w:r>
    </w:p>
    <w:p w14:paraId="506378B0" w14:textId="77777777" w:rsidR="009419EE" w:rsidRDefault="009419EE" w:rsidP="009419EE">
      <w:pPr>
        <w:spacing w:after="0" w:line="240" w:lineRule="auto"/>
        <w:ind w:left="709"/>
        <w:jc w:val="both"/>
      </w:pPr>
      <w:r>
        <w:t>2. nad 40 let věku vždy v kalendářním roce, ve kterém není prováděno vyšetření podle písmene d), a</w:t>
      </w:r>
    </w:p>
    <w:p w14:paraId="54FDC72D" w14:textId="1319DAB2" w:rsidR="009419EE" w:rsidRPr="009419EE" w:rsidRDefault="009419EE" w:rsidP="009419EE">
      <w:pPr>
        <w:spacing w:after="0" w:line="240" w:lineRule="auto"/>
        <w:ind w:left="709"/>
        <w:jc w:val="both"/>
      </w:pPr>
      <w:r>
        <w:t>f) ultrazvukové vyšetření dolní poloviny břicha u žen nad 35 let věku, a to s četností jednou za 2 roky.</w:t>
      </w:r>
    </w:p>
    <w:p w14:paraId="1780F234" w14:textId="660FC733" w:rsidR="00E20006" w:rsidRPr="009419EE" w:rsidRDefault="009419EE" w:rsidP="009419EE">
      <w:pPr>
        <w:spacing w:before="120" w:after="0"/>
        <w:jc w:val="both"/>
        <w:rPr>
          <w:b/>
          <w:bCs/>
        </w:rPr>
      </w:pPr>
      <w:r w:rsidRPr="009419EE">
        <w:rPr>
          <w:b/>
          <w:bCs/>
        </w:rPr>
        <w:t xml:space="preserve">9) </w:t>
      </w:r>
      <w:r w:rsidRPr="009419EE">
        <w:rPr>
          <w:b/>
          <w:bCs/>
        </w:rPr>
        <w:tab/>
        <w:t>Obsahem zdravotní prohlídky není</w:t>
      </w:r>
      <w:r w:rsidR="00D21EBA">
        <w:rPr>
          <w:b/>
          <w:bCs/>
        </w:rPr>
        <w:t xml:space="preserve"> ani dle zákona ani dle vyhlášky</w:t>
      </w:r>
      <w:r w:rsidRPr="009419EE">
        <w:rPr>
          <w:b/>
          <w:bCs/>
        </w:rPr>
        <w:t xml:space="preserve"> posuzování preventivních opatření, kterými je např. očkovací status. </w:t>
      </w:r>
    </w:p>
    <w:p w14:paraId="30A755A4" w14:textId="06DE556E" w:rsidR="00E20006" w:rsidRDefault="0007450A" w:rsidP="009419EE">
      <w:pPr>
        <w:spacing w:before="120" w:after="0" w:line="240" w:lineRule="auto"/>
        <w:jc w:val="both"/>
      </w:pPr>
      <w:r w:rsidRPr="0007450A">
        <w:t>10)</w:t>
      </w:r>
      <w:r w:rsidRPr="0007450A">
        <w:tab/>
      </w:r>
      <w:r>
        <w:t xml:space="preserve">Skutečnost, že jsem </w:t>
      </w:r>
      <w:r w:rsidR="00AA1582">
        <w:t xml:space="preserve">se nepodrobil </w:t>
      </w:r>
      <w:r>
        <w:t>očkování, jakožto preventivní</w:t>
      </w:r>
      <w:r w:rsidR="00AA1582">
        <w:t>mu</w:t>
      </w:r>
      <w:r>
        <w:t xml:space="preserve"> opatření zaměstnavatele v souvislosti s plněním povinnost</w:t>
      </w:r>
      <w:r w:rsidR="00AA1582">
        <w:t>í</w:t>
      </w:r>
      <w:r>
        <w:t xml:space="preserve"> v oblasti OBZP nemůže mít jakýkoli dopad na výsledek zdravotní způsobilosti a tedy ani na vydání posudku o zdravotní způsobilosti. </w:t>
      </w:r>
    </w:p>
    <w:p w14:paraId="7FC77E89" w14:textId="2B429C70" w:rsidR="0016011A" w:rsidRDefault="0016011A" w:rsidP="009419EE">
      <w:pPr>
        <w:spacing w:before="120" w:after="0" w:line="240" w:lineRule="auto"/>
        <w:jc w:val="both"/>
      </w:pPr>
      <w:r>
        <w:t xml:space="preserve">11) </w:t>
      </w:r>
      <w:r>
        <w:tab/>
      </w:r>
      <w:r w:rsidR="0024190F">
        <w:t>Dne 18. srpna 2020 vydal ředitel sekce vojenského zdravotnictví MO odborný pokyn</w:t>
      </w:r>
      <w:r w:rsidR="00636610">
        <w:t xml:space="preserve"> č.j. MO 238355/2020-1457</w:t>
      </w:r>
      <w:r w:rsidR="0024190F">
        <w:t xml:space="preserve">, ve kterém je v bodě č. 3 Posuzování jednotlivých situací uvedeno: </w:t>
      </w:r>
    </w:p>
    <w:p w14:paraId="5DA298A9" w14:textId="54E7DE34" w:rsidR="0024190F" w:rsidRPr="0024190F" w:rsidRDefault="00636610" w:rsidP="009419EE">
      <w:pPr>
        <w:spacing w:before="120" w:after="0" w:line="240" w:lineRule="auto"/>
        <w:jc w:val="both"/>
        <w:rPr>
          <w:i/>
          <w:iCs/>
        </w:rPr>
      </w:pPr>
      <w:r>
        <w:rPr>
          <w:i/>
          <w:iCs/>
        </w:rPr>
        <w:t>„</w:t>
      </w:r>
      <w:r w:rsidR="0024190F">
        <w:rPr>
          <w:i/>
          <w:iCs/>
        </w:rPr>
        <w:t>Jestliže se zaměstnanec v souvislosti s poskytováním pracovnělékařských služeb, v průběhu pracovnělékařské prohlídky, odmítá podrobit nařízenému očkování v souladu s očkovacím schématem, potom lékařská prohlídka není uzavřena z důvodu, že nejsou naplněna kritéria minimálních požadavků na zdravotní způsobilost podle zvláštního právního předpisu</w:t>
      </w:r>
      <w:r>
        <w:rPr>
          <w:i/>
          <w:iCs/>
        </w:rPr>
        <w:t xml:space="preserve"> nebo nařízení orgánu ochrany veřejného zdraví MO. Tato skutečnost je zaznamenána do zdravotnické dokumentace v souladu s § 43 odst. 7 zákona č. 373/2011 Sb., o specifických zdravotních službách (dále jen „zákon o specifických zdravotních službách“), a pracovnělékařský posudek není vydán. O této skutečnosti rezortní poskytovatel nebo příspěvková organizace služebním postupem písemně informuje vedoucího organizační celku, který zaměstnance vyslal k pracovnělékařské prohlídce, se závěrem podle § 43 odst. 8 zákona o specifických zdravotních službách, že zdravotní stav zaměstnance nesplňuje požadavky nebo předpoklady, ke kterým byl posuzován (Příloha č. 1).“</w:t>
      </w:r>
    </w:p>
    <w:p w14:paraId="2D009C50" w14:textId="2AAD5C71" w:rsidR="00E20006" w:rsidRDefault="00636610" w:rsidP="00636610">
      <w:pPr>
        <w:spacing w:before="120" w:after="0" w:line="240" w:lineRule="auto"/>
        <w:jc w:val="both"/>
        <w:rPr>
          <w:b/>
          <w:bCs/>
        </w:rPr>
      </w:pPr>
      <w:r>
        <w:rPr>
          <w:b/>
          <w:bCs/>
        </w:rPr>
        <w:t>12)</w:t>
      </w:r>
      <w:r>
        <w:rPr>
          <w:b/>
          <w:bCs/>
        </w:rPr>
        <w:tab/>
        <w:t xml:space="preserve">Bod 3. odborného pokynu č.j. MO 238355/2020-1457 je v evidentním rozporu se zákonem o zdravotních službách a vyhláškou o zdravotní způsobilosti vojáků z povolání, dokonce je v evidentním rozporu s přímo citovanými ustanoveními zákona, tedy § 43 odst. 8, neboť dle tohoto ustanovení lze na posuzovanou osobu </w:t>
      </w:r>
      <w:r w:rsidR="00A5550B">
        <w:rPr>
          <w:b/>
          <w:bCs/>
        </w:rPr>
        <w:t xml:space="preserve">lze hledět jako na osobu, která nesplňuje minimální požadavky na zdravotní způsobilost pouze v případě uvedeném v § 43 odst. 7, tedy </w:t>
      </w:r>
      <w:r w:rsidR="00A5550B" w:rsidRPr="00AA1582">
        <w:rPr>
          <w:b/>
          <w:bCs/>
          <w:u w:val="single"/>
        </w:rPr>
        <w:t>pokud se odmítne podrobit lékařskému vyšetření nebo prohlídce</w:t>
      </w:r>
      <w:r w:rsidR="00A5550B">
        <w:rPr>
          <w:b/>
          <w:bCs/>
        </w:rPr>
        <w:t xml:space="preserve">. Zdravotní úkon, spočívající v porušení tělesné integrity a aplikaci očkovací látky není ani při sebeextenzivnějším výkladu možné považovat ani za lékařské vyšetření ani za lékařskou prohlídku. </w:t>
      </w:r>
    </w:p>
    <w:p w14:paraId="44673F2D" w14:textId="5726FCE0" w:rsidR="00A5550B" w:rsidRDefault="00A5550B" w:rsidP="00636610">
      <w:pPr>
        <w:spacing w:before="120" w:after="0" w:line="240" w:lineRule="auto"/>
        <w:jc w:val="both"/>
      </w:pPr>
      <w:r>
        <w:t>13)</w:t>
      </w:r>
      <w:r>
        <w:tab/>
        <w:t xml:space="preserve">Vzhledem k tomu, že jsem se na lékařskou prohlídku řádně dostavil a v žádném případě jsem žádné vyšetření ani prohlídku neodmítl podstoupit, měl mi být posudek řádně vydán ve lhůtě podle § 43 odst. 1 písm. a) zákona o zdravotních službách, tedy do 10 dnů ode dne, kdy jsem byl k prohlídce odeslán. </w:t>
      </w:r>
    </w:p>
    <w:p w14:paraId="74A7A79F" w14:textId="04895676" w:rsidR="00900CA4" w:rsidRDefault="00D27ACD" w:rsidP="00D27ACD">
      <w:pPr>
        <w:spacing w:before="120" w:after="0" w:line="240" w:lineRule="auto"/>
        <w:jc w:val="both"/>
      </w:pPr>
      <w:r>
        <w:t>14)</w:t>
      </w:r>
      <w:r>
        <w:tab/>
      </w:r>
      <w:r w:rsidR="00E20006">
        <w:t xml:space="preserve">Dle § 90 odst. 4 písm. e) zák. č. 373/2011 Sb. </w:t>
      </w:r>
      <w:r w:rsidR="00E20006" w:rsidRPr="00E20006">
        <w:t xml:space="preserve">Poskytovatel pracovnělékařských služeb se dopustí přestupku tím, že v rozporu s § 54 odst. 3 neprovede pracovnělékařskou prohlídku, posouzení zdravotní způsobilosti k práci </w:t>
      </w:r>
      <w:r w:rsidR="00E20006" w:rsidRPr="00E20006">
        <w:rPr>
          <w:b/>
          <w:bCs/>
          <w:u w:val="single"/>
        </w:rPr>
        <w:t>nebo nevydá lékařský posudek o zdravotní způsobilosti k</w:t>
      </w:r>
      <w:r w:rsidR="00E20006">
        <w:rPr>
          <w:b/>
          <w:bCs/>
          <w:u w:val="single"/>
        </w:rPr>
        <w:t> </w:t>
      </w:r>
      <w:r w:rsidR="00E20006" w:rsidRPr="00E20006">
        <w:rPr>
          <w:b/>
          <w:bCs/>
          <w:u w:val="single"/>
        </w:rPr>
        <w:t>práci</w:t>
      </w:r>
      <w:r w:rsidR="00E20006">
        <w:rPr>
          <w:b/>
          <w:bCs/>
          <w:u w:val="single"/>
        </w:rPr>
        <w:t xml:space="preserve">. </w:t>
      </w:r>
    </w:p>
    <w:p w14:paraId="3A97637B" w14:textId="20D040F5" w:rsidR="00D27ACD" w:rsidRDefault="00D27ACD" w:rsidP="00D27ACD">
      <w:pPr>
        <w:spacing w:before="120" w:after="0"/>
        <w:jc w:val="both"/>
      </w:pPr>
      <w:r>
        <w:t>15)</w:t>
      </w:r>
      <w:r>
        <w:tab/>
      </w:r>
      <w:r w:rsidR="00907BDA">
        <w:t>Z obsahu odvolání je zřejmé, že nevydání zdravotního posudku je protiprávním</w:t>
      </w:r>
      <w:r w:rsidR="00331E84">
        <w:t xml:space="preserve"> (proti zákonným)</w:t>
      </w:r>
      <w:r w:rsidR="00907BDA">
        <w:t xml:space="preserve"> jednáním posudkového lékaře, neboť neexistuje žádný zákonný důvod, kterým by bylo možné ospravedlnit, že posudkový lékař zdravotní posudek o mé zdravotní způsobilosti </w:t>
      </w:r>
      <w:r w:rsidR="00907BDA">
        <w:lastRenderedPageBreak/>
        <w:t xml:space="preserve">nevydal v zákonné lhůtě. </w:t>
      </w:r>
      <w:r w:rsidR="00331E84">
        <w:t xml:space="preserve">Jednání posudkového lékaře naplňuje formální znaky přestupku dle § 90 odst. 4 písm. e) zákona o specifických zdravotních službách. </w:t>
      </w:r>
    </w:p>
    <w:p w14:paraId="1F58DB85" w14:textId="60F2ED20" w:rsidR="00907BDA" w:rsidRDefault="00907BDA" w:rsidP="00D27ACD">
      <w:pPr>
        <w:spacing w:before="120" w:after="0"/>
        <w:jc w:val="both"/>
      </w:pPr>
      <w:r>
        <w:t>16)</w:t>
      </w:r>
      <w:r>
        <w:tab/>
      </w:r>
      <w:r w:rsidR="00547B56">
        <w:t xml:space="preserve">Pokud posudek o zdravotní způsobilosti nebyl vydán v rozporu se zákonem, v důsledku protiprávního jednání posudkového lékaře, není ústavně přípustné, aby důsledky tohoto protiprávního stavu byly uplatňovány k mé újmě a byly z toho vůči mé osobě vyvozovány jakékoli negativní důsledky, včetně změn mého služebního zařazení. </w:t>
      </w:r>
    </w:p>
    <w:p w14:paraId="627FD9BC" w14:textId="70620401" w:rsidR="00691A7D" w:rsidRDefault="00691A7D" w:rsidP="00D27ACD">
      <w:pPr>
        <w:spacing w:before="120" w:after="0"/>
        <w:jc w:val="both"/>
      </w:pPr>
      <w:r>
        <w:t>17)</w:t>
      </w:r>
      <w:r>
        <w:tab/>
        <w:t xml:space="preserve">Personální rozkaz, kterým jsem byl určen do dispozice, odkazuje výhradně na Oznámení o nevystavení posudku o zdravotní způsobilosti č.j. MO 298190/2022-684806 ze dne 21. července 2022. </w:t>
      </w:r>
    </w:p>
    <w:p w14:paraId="7B408356" w14:textId="79FA5BE1" w:rsidR="00691A7D" w:rsidRDefault="00691A7D" w:rsidP="00D27ACD">
      <w:pPr>
        <w:spacing w:before="120" w:after="0"/>
        <w:jc w:val="both"/>
      </w:pPr>
      <w:r>
        <w:t>18)</w:t>
      </w:r>
      <w:r>
        <w:tab/>
        <w:t xml:space="preserve">Zdravotní posudek mi nebyl vydán výhradně z důvodu protiprávního jednání posudkového lékaře, který nesplnil svoji zákonnou povinnost posudek o zdravotní způsobilosti v zákonné lhůtě vydat. </w:t>
      </w:r>
    </w:p>
    <w:p w14:paraId="73ACA343" w14:textId="4AA4F83B" w:rsidR="00691A7D" w:rsidRDefault="00691A7D" w:rsidP="00D27ACD">
      <w:pPr>
        <w:spacing w:before="120" w:after="0"/>
        <w:jc w:val="both"/>
      </w:pPr>
      <w:r>
        <w:t>19)</w:t>
      </w:r>
      <w:r>
        <w:tab/>
        <w:t xml:space="preserve">Důvodem pro mé zařazení do dispozice tak je výhradně protiprávní jednání posudkového lékaře. K vydání personálního rozkazu o mém zařazení do dispozice tak neexistuje zákonný důvod. </w:t>
      </w:r>
    </w:p>
    <w:p w14:paraId="35D3CAB2" w14:textId="2D67AA08" w:rsidR="00691A7D" w:rsidRPr="00691A7D" w:rsidRDefault="00691A7D" w:rsidP="00691A7D">
      <w:pPr>
        <w:spacing w:before="120" w:after="0"/>
        <w:jc w:val="center"/>
        <w:rPr>
          <w:b/>
          <w:bCs/>
        </w:rPr>
      </w:pPr>
      <w:r w:rsidRPr="00691A7D">
        <w:rPr>
          <w:b/>
          <w:bCs/>
        </w:rPr>
        <w:t xml:space="preserve">III. </w:t>
      </w:r>
    </w:p>
    <w:p w14:paraId="40FF0D0F" w14:textId="7CE8D9E6" w:rsidR="00691A7D" w:rsidRPr="00D01E69" w:rsidRDefault="00691A7D" w:rsidP="00D27ACD">
      <w:pPr>
        <w:spacing w:before="120" w:after="0"/>
        <w:jc w:val="both"/>
        <w:rPr>
          <w:b/>
          <w:bCs/>
        </w:rPr>
      </w:pPr>
      <w:r w:rsidRPr="00D01E69">
        <w:rPr>
          <w:b/>
          <w:bCs/>
        </w:rPr>
        <w:t xml:space="preserve">Se shora uvedených důvodů navrhuji, aby odvolací orgán personální rozkaz </w:t>
      </w:r>
      <w:r w:rsidR="00D01E69" w:rsidRPr="00D01E69">
        <w:rPr>
          <w:b/>
          <w:bCs/>
        </w:rPr>
        <w:t xml:space="preserve">sp. zn. </w:t>
      </w:r>
      <w:r w:rsidR="00F81F87">
        <w:rPr>
          <w:b/>
          <w:bCs/>
        </w:rPr>
        <w:t>………</w:t>
      </w:r>
      <w:r w:rsidR="00D01E69">
        <w:rPr>
          <w:b/>
          <w:bCs/>
        </w:rPr>
        <w:t xml:space="preserve"> (bez data vydání)</w:t>
      </w:r>
      <w:r w:rsidR="00D01E69" w:rsidRPr="00D01E69">
        <w:rPr>
          <w:b/>
          <w:bCs/>
        </w:rPr>
        <w:t xml:space="preserve"> zrušil. </w:t>
      </w:r>
    </w:p>
    <w:p w14:paraId="319CA1E5" w14:textId="60FBA974" w:rsidR="00135327" w:rsidRDefault="00135327" w:rsidP="00900CA4">
      <w:pPr>
        <w:jc w:val="both"/>
      </w:pPr>
    </w:p>
    <w:p w14:paraId="71E237D7" w14:textId="77777777" w:rsidR="008B60CD" w:rsidRDefault="008B60CD" w:rsidP="00E8074A"/>
    <w:p w14:paraId="0E8534BC" w14:textId="77777777" w:rsidR="00494FF2" w:rsidRDefault="00494FF2" w:rsidP="00E8074A">
      <w:r>
        <w:t>S pozdravem a úctou k Vám</w:t>
      </w:r>
    </w:p>
    <w:p w14:paraId="6205F1FF" w14:textId="67F39AD3" w:rsidR="0093098B" w:rsidRDefault="00F81F87" w:rsidP="00AA1582">
      <w:r>
        <w:t>hodnost, jméno, příjmení</w:t>
      </w:r>
    </w:p>
    <w:p w14:paraId="4830BBC7" w14:textId="77777777" w:rsidR="00323893" w:rsidRPr="00323893" w:rsidRDefault="00323893" w:rsidP="00BB0A29"/>
    <w:sectPr w:rsidR="00323893" w:rsidRPr="003238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6AF"/>
    <w:rsid w:val="0007450A"/>
    <w:rsid w:val="00135327"/>
    <w:rsid w:val="0016011A"/>
    <w:rsid w:val="00162604"/>
    <w:rsid w:val="0024190F"/>
    <w:rsid w:val="00295077"/>
    <w:rsid w:val="002B06AF"/>
    <w:rsid w:val="002C6681"/>
    <w:rsid w:val="002F2663"/>
    <w:rsid w:val="002F7EE4"/>
    <w:rsid w:val="00323893"/>
    <w:rsid w:val="00331E84"/>
    <w:rsid w:val="00387498"/>
    <w:rsid w:val="003C5711"/>
    <w:rsid w:val="00411C6F"/>
    <w:rsid w:val="00417102"/>
    <w:rsid w:val="00474FCC"/>
    <w:rsid w:val="00494FF2"/>
    <w:rsid w:val="004C5749"/>
    <w:rsid w:val="004E392E"/>
    <w:rsid w:val="00520437"/>
    <w:rsid w:val="00530C9E"/>
    <w:rsid w:val="00545695"/>
    <w:rsid w:val="0054736C"/>
    <w:rsid w:val="00547B56"/>
    <w:rsid w:val="006233A0"/>
    <w:rsid w:val="00636610"/>
    <w:rsid w:val="00691A7D"/>
    <w:rsid w:val="006A68E3"/>
    <w:rsid w:val="006C641B"/>
    <w:rsid w:val="006D0CEA"/>
    <w:rsid w:val="0075751B"/>
    <w:rsid w:val="007D5522"/>
    <w:rsid w:val="008760C8"/>
    <w:rsid w:val="00886A25"/>
    <w:rsid w:val="00891AEC"/>
    <w:rsid w:val="008B60CD"/>
    <w:rsid w:val="008E33F9"/>
    <w:rsid w:val="00900CA4"/>
    <w:rsid w:val="00907BDA"/>
    <w:rsid w:val="00922ED2"/>
    <w:rsid w:val="0093098B"/>
    <w:rsid w:val="009419EE"/>
    <w:rsid w:val="009B58DA"/>
    <w:rsid w:val="00A21563"/>
    <w:rsid w:val="00A5550B"/>
    <w:rsid w:val="00AA1582"/>
    <w:rsid w:val="00AD2761"/>
    <w:rsid w:val="00B512EA"/>
    <w:rsid w:val="00B80CAD"/>
    <w:rsid w:val="00BA3015"/>
    <w:rsid w:val="00BB0A29"/>
    <w:rsid w:val="00C37ED4"/>
    <w:rsid w:val="00C87C6C"/>
    <w:rsid w:val="00D01E69"/>
    <w:rsid w:val="00D21EBA"/>
    <w:rsid w:val="00D27ACD"/>
    <w:rsid w:val="00E16AD2"/>
    <w:rsid w:val="00E20006"/>
    <w:rsid w:val="00E241DA"/>
    <w:rsid w:val="00E4520C"/>
    <w:rsid w:val="00E6696A"/>
    <w:rsid w:val="00E8074A"/>
    <w:rsid w:val="00EB48EE"/>
    <w:rsid w:val="00EC1655"/>
    <w:rsid w:val="00F35D2E"/>
    <w:rsid w:val="00F77A86"/>
    <w:rsid w:val="00F81F87"/>
    <w:rsid w:val="00FA3D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51F19"/>
  <w15:chartTrackingRefBased/>
  <w15:docId w15:val="{96D89A1C-A5D7-4C76-ABA2-224F2AF7F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C571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C57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90933">
      <w:bodyDiv w:val="1"/>
      <w:marLeft w:val="0"/>
      <w:marRight w:val="0"/>
      <w:marTop w:val="0"/>
      <w:marBottom w:val="0"/>
      <w:divBdr>
        <w:top w:val="none" w:sz="0" w:space="0" w:color="auto"/>
        <w:left w:val="none" w:sz="0" w:space="0" w:color="auto"/>
        <w:bottom w:val="none" w:sz="0" w:space="0" w:color="auto"/>
        <w:right w:val="none" w:sz="0" w:space="0" w:color="auto"/>
      </w:divBdr>
      <w:divsChild>
        <w:div w:id="892741407">
          <w:marLeft w:val="624"/>
          <w:marRight w:val="0"/>
          <w:marTop w:val="0"/>
          <w:marBottom w:val="0"/>
          <w:divBdr>
            <w:top w:val="none" w:sz="0" w:space="0" w:color="auto"/>
            <w:left w:val="none" w:sz="0" w:space="0" w:color="auto"/>
            <w:bottom w:val="none" w:sz="0" w:space="0" w:color="auto"/>
            <w:right w:val="none" w:sz="0" w:space="0" w:color="auto"/>
          </w:divBdr>
          <w:divsChild>
            <w:div w:id="209852062">
              <w:marLeft w:val="384"/>
              <w:marRight w:val="0"/>
              <w:marTop w:val="0"/>
              <w:marBottom w:val="0"/>
              <w:divBdr>
                <w:top w:val="none" w:sz="0" w:space="0" w:color="auto"/>
                <w:left w:val="none" w:sz="0" w:space="0" w:color="auto"/>
                <w:bottom w:val="none" w:sz="0" w:space="0" w:color="auto"/>
                <w:right w:val="none" w:sz="0" w:space="0" w:color="auto"/>
              </w:divBdr>
            </w:div>
            <w:div w:id="1144733579">
              <w:marLeft w:val="384"/>
              <w:marRight w:val="0"/>
              <w:marTop w:val="0"/>
              <w:marBottom w:val="0"/>
              <w:divBdr>
                <w:top w:val="none" w:sz="0" w:space="0" w:color="auto"/>
                <w:left w:val="none" w:sz="0" w:space="0" w:color="auto"/>
                <w:bottom w:val="none" w:sz="0" w:space="0" w:color="auto"/>
                <w:right w:val="none" w:sz="0" w:space="0" w:color="auto"/>
              </w:divBdr>
            </w:div>
            <w:div w:id="1288855227">
              <w:marLeft w:val="384"/>
              <w:marRight w:val="0"/>
              <w:marTop w:val="0"/>
              <w:marBottom w:val="0"/>
              <w:divBdr>
                <w:top w:val="none" w:sz="0" w:space="0" w:color="auto"/>
                <w:left w:val="none" w:sz="0" w:space="0" w:color="auto"/>
                <w:bottom w:val="none" w:sz="0" w:space="0" w:color="auto"/>
                <w:right w:val="none" w:sz="0" w:space="0" w:color="auto"/>
              </w:divBdr>
            </w:div>
            <w:div w:id="1538276130">
              <w:marLeft w:val="384"/>
              <w:marRight w:val="0"/>
              <w:marTop w:val="0"/>
              <w:marBottom w:val="0"/>
              <w:divBdr>
                <w:top w:val="none" w:sz="0" w:space="0" w:color="auto"/>
                <w:left w:val="none" w:sz="0" w:space="0" w:color="auto"/>
                <w:bottom w:val="none" w:sz="0" w:space="0" w:color="auto"/>
                <w:right w:val="none" w:sz="0" w:space="0" w:color="auto"/>
              </w:divBdr>
            </w:div>
            <w:div w:id="658655143">
              <w:marLeft w:val="384"/>
              <w:marRight w:val="0"/>
              <w:marTop w:val="0"/>
              <w:marBottom w:val="0"/>
              <w:divBdr>
                <w:top w:val="none" w:sz="0" w:space="0" w:color="auto"/>
                <w:left w:val="none" w:sz="0" w:space="0" w:color="auto"/>
                <w:bottom w:val="none" w:sz="0" w:space="0" w:color="auto"/>
                <w:right w:val="none" w:sz="0" w:space="0" w:color="auto"/>
              </w:divBdr>
            </w:div>
            <w:div w:id="1899780378">
              <w:marLeft w:val="384"/>
              <w:marRight w:val="0"/>
              <w:marTop w:val="0"/>
              <w:marBottom w:val="0"/>
              <w:divBdr>
                <w:top w:val="none" w:sz="0" w:space="0" w:color="auto"/>
                <w:left w:val="none" w:sz="0" w:space="0" w:color="auto"/>
                <w:bottom w:val="none" w:sz="0" w:space="0" w:color="auto"/>
                <w:right w:val="none" w:sz="0" w:space="0" w:color="auto"/>
              </w:divBdr>
            </w:div>
            <w:div w:id="1470591172">
              <w:marLeft w:val="384"/>
              <w:marRight w:val="0"/>
              <w:marTop w:val="0"/>
              <w:marBottom w:val="0"/>
              <w:divBdr>
                <w:top w:val="none" w:sz="0" w:space="0" w:color="auto"/>
                <w:left w:val="none" w:sz="0" w:space="0" w:color="auto"/>
                <w:bottom w:val="none" w:sz="0" w:space="0" w:color="auto"/>
                <w:right w:val="none" w:sz="0" w:space="0" w:color="auto"/>
              </w:divBdr>
            </w:div>
            <w:div w:id="722944274">
              <w:marLeft w:val="384"/>
              <w:marRight w:val="0"/>
              <w:marTop w:val="0"/>
              <w:marBottom w:val="0"/>
              <w:divBdr>
                <w:top w:val="none" w:sz="0" w:space="0" w:color="auto"/>
                <w:left w:val="none" w:sz="0" w:space="0" w:color="auto"/>
                <w:bottom w:val="none" w:sz="0" w:space="0" w:color="auto"/>
                <w:right w:val="none" w:sz="0" w:space="0" w:color="auto"/>
              </w:divBdr>
            </w:div>
            <w:div w:id="1511799853">
              <w:marLeft w:val="384"/>
              <w:marRight w:val="0"/>
              <w:marTop w:val="0"/>
              <w:marBottom w:val="0"/>
              <w:divBdr>
                <w:top w:val="none" w:sz="0" w:space="0" w:color="auto"/>
                <w:left w:val="none" w:sz="0" w:space="0" w:color="auto"/>
                <w:bottom w:val="none" w:sz="0" w:space="0" w:color="auto"/>
                <w:right w:val="none" w:sz="0" w:space="0" w:color="auto"/>
              </w:divBdr>
            </w:div>
            <w:div w:id="768820397">
              <w:marLeft w:val="384"/>
              <w:marRight w:val="0"/>
              <w:marTop w:val="0"/>
              <w:marBottom w:val="0"/>
              <w:divBdr>
                <w:top w:val="none" w:sz="0" w:space="0" w:color="auto"/>
                <w:left w:val="none" w:sz="0" w:space="0" w:color="auto"/>
                <w:bottom w:val="none" w:sz="0" w:space="0" w:color="auto"/>
                <w:right w:val="none" w:sz="0" w:space="0" w:color="auto"/>
              </w:divBdr>
            </w:div>
            <w:div w:id="1338000925">
              <w:marLeft w:val="384"/>
              <w:marRight w:val="0"/>
              <w:marTop w:val="0"/>
              <w:marBottom w:val="0"/>
              <w:divBdr>
                <w:top w:val="none" w:sz="0" w:space="0" w:color="auto"/>
                <w:left w:val="none" w:sz="0" w:space="0" w:color="auto"/>
                <w:bottom w:val="none" w:sz="0" w:space="0" w:color="auto"/>
                <w:right w:val="none" w:sz="0" w:space="0" w:color="auto"/>
              </w:divBdr>
            </w:div>
            <w:div w:id="1454444692">
              <w:marLeft w:val="384"/>
              <w:marRight w:val="0"/>
              <w:marTop w:val="0"/>
              <w:marBottom w:val="0"/>
              <w:divBdr>
                <w:top w:val="none" w:sz="0" w:space="0" w:color="auto"/>
                <w:left w:val="none" w:sz="0" w:space="0" w:color="auto"/>
                <w:bottom w:val="none" w:sz="0" w:space="0" w:color="auto"/>
                <w:right w:val="none" w:sz="0" w:space="0" w:color="auto"/>
              </w:divBdr>
            </w:div>
            <w:div w:id="303123216">
              <w:marLeft w:val="384"/>
              <w:marRight w:val="0"/>
              <w:marTop w:val="0"/>
              <w:marBottom w:val="0"/>
              <w:divBdr>
                <w:top w:val="none" w:sz="0" w:space="0" w:color="auto"/>
                <w:left w:val="none" w:sz="0" w:space="0" w:color="auto"/>
                <w:bottom w:val="none" w:sz="0" w:space="0" w:color="auto"/>
                <w:right w:val="none" w:sz="0" w:space="0" w:color="auto"/>
              </w:divBdr>
            </w:div>
            <w:div w:id="1293706314">
              <w:marLeft w:val="384"/>
              <w:marRight w:val="0"/>
              <w:marTop w:val="0"/>
              <w:marBottom w:val="0"/>
              <w:divBdr>
                <w:top w:val="none" w:sz="0" w:space="0" w:color="auto"/>
                <w:left w:val="none" w:sz="0" w:space="0" w:color="auto"/>
                <w:bottom w:val="none" w:sz="0" w:space="0" w:color="auto"/>
                <w:right w:val="none" w:sz="0" w:space="0" w:color="auto"/>
              </w:divBdr>
            </w:div>
            <w:div w:id="443814855">
              <w:marLeft w:val="384"/>
              <w:marRight w:val="0"/>
              <w:marTop w:val="0"/>
              <w:marBottom w:val="0"/>
              <w:divBdr>
                <w:top w:val="none" w:sz="0" w:space="0" w:color="auto"/>
                <w:left w:val="none" w:sz="0" w:space="0" w:color="auto"/>
                <w:bottom w:val="none" w:sz="0" w:space="0" w:color="auto"/>
                <w:right w:val="none" w:sz="0" w:space="0" w:color="auto"/>
              </w:divBdr>
            </w:div>
          </w:divsChild>
        </w:div>
        <w:div w:id="1868327946">
          <w:marLeft w:val="624"/>
          <w:marRight w:val="0"/>
          <w:marTop w:val="0"/>
          <w:marBottom w:val="0"/>
          <w:divBdr>
            <w:top w:val="none" w:sz="0" w:space="0" w:color="auto"/>
            <w:left w:val="none" w:sz="0" w:space="0" w:color="auto"/>
            <w:bottom w:val="none" w:sz="0" w:space="0" w:color="auto"/>
            <w:right w:val="none" w:sz="0" w:space="0" w:color="auto"/>
          </w:divBdr>
        </w:div>
        <w:div w:id="1264335870">
          <w:marLeft w:val="624"/>
          <w:marRight w:val="0"/>
          <w:marTop w:val="0"/>
          <w:marBottom w:val="0"/>
          <w:divBdr>
            <w:top w:val="none" w:sz="0" w:space="0" w:color="auto"/>
            <w:left w:val="none" w:sz="0" w:space="0" w:color="auto"/>
            <w:bottom w:val="none" w:sz="0" w:space="0" w:color="auto"/>
            <w:right w:val="none" w:sz="0" w:space="0" w:color="auto"/>
          </w:divBdr>
          <w:divsChild>
            <w:div w:id="1770662267">
              <w:marLeft w:val="384"/>
              <w:marRight w:val="0"/>
              <w:marTop w:val="0"/>
              <w:marBottom w:val="0"/>
              <w:divBdr>
                <w:top w:val="none" w:sz="0" w:space="0" w:color="auto"/>
                <w:left w:val="none" w:sz="0" w:space="0" w:color="auto"/>
                <w:bottom w:val="none" w:sz="0" w:space="0" w:color="auto"/>
                <w:right w:val="none" w:sz="0" w:space="0" w:color="auto"/>
              </w:divBdr>
            </w:div>
            <w:div w:id="1578440384">
              <w:marLeft w:val="384"/>
              <w:marRight w:val="0"/>
              <w:marTop w:val="0"/>
              <w:marBottom w:val="0"/>
              <w:divBdr>
                <w:top w:val="none" w:sz="0" w:space="0" w:color="auto"/>
                <w:left w:val="none" w:sz="0" w:space="0" w:color="auto"/>
                <w:bottom w:val="none" w:sz="0" w:space="0" w:color="auto"/>
                <w:right w:val="none" w:sz="0" w:space="0" w:color="auto"/>
              </w:divBdr>
            </w:div>
          </w:divsChild>
        </w:div>
        <w:div w:id="225065780">
          <w:marLeft w:val="624"/>
          <w:marRight w:val="0"/>
          <w:marTop w:val="0"/>
          <w:marBottom w:val="0"/>
          <w:divBdr>
            <w:top w:val="none" w:sz="0" w:space="0" w:color="auto"/>
            <w:left w:val="none" w:sz="0" w:space="0" w:color="auto"/>
            <w:bottom w:val="none" w:sz="0" w:space="0" w:color="auto"/>
            <w:right w:val="none" w:sz="0" w:space="0" w:color="auto"/>
          </w:divBdr>
        </w:div>
        <w:div w:id="911041699">
          <w:marLeft w:val="624"/>
          <w:marRight w:val="0"/>
          <w:marTop w:val="0"/>
          <w:marBottom w:val="0"/>
          <w:divBdr>
            <w:top w:val="none" w:sz="0" w:space="0" w:color="auto"/>
            <w:left w:val="none" w:sz="0" w:space="0" w:color="auto"/>
            <w:bottom w:val="none" w:sz="0" w:space="0" w:color="auto"/>
            <w:right w:val="none" w:sz="0" w:space="0" w:color="auto"/>
          </w:divBdr>
          <w:divsChild>
            <w:div w:id="1710376258">
              <w:marLeft w:val="384"/>
              <w:marRight w:val="0"/>
              <w:marTop w:val="0"/>
              <w:marBottom w:val="0"/>
              <w:divBdr>
                <w:top w:val="none" w:sz="0" w:space="0" w:color="auto"/>
                <w:left w:val="none" w:sz="0" w:space="0" w:color="auto"/>
                <w:bottom w:val="none" w:sz="0" w:space="0" w:color="auto"/>
                <w:right w:val="none" w:sz="0" w:space="0" w:color="auto"/>
              </w:divBdr>
            </w:div>
            <w:div w:id="482893265">
              <w:marLeft w:val="384"/>
              <w:marRight w:val="0"/>
              <w:marTop w:val="0"/>
              <w:marBottom w:val="0"/>
              <w:divBdr>
                <w:top w:val="none" w:sz="0" w:space="0" w:color="auto"/>
                <w:left w:val="none" w:sz="0" w:space="0" w:color="auto"/>
                <w:bottom w:val="none" w:sz="0" w:space="0" w:color="auto"/>
                <w:right w:val="none" w:sz="0" w:space="0" w:color="auto"/>
              </w:divBdr>
            </w:div>
          </w:divsChild>
        </w:div>
        <w:div w:id="2009938932">
          <w:marLeft w:val="624"/>
          <w:marRight w:val="0"/>
          <w:marTop w:val="0"/>
          <w:marBottom w:val="0"/>
          <w:divBdr>
            <w:top w:val="none" w:sz="0" w:space="0" w:color="auto"/>
            <w:left w:val="none" w:sz="0" w:space="0" w:color="auto"/>
            <w:bottom w:val="none" w:sz="0" w:space="0" w:color="auto"/>
            <w:right w:val="none" w:sz="0" w:space="0" w:color="auto"/>
          </w:divBdr>
        </w:div>
      </w:divsChild>
    </w:div>
    <w:div w:id="803890566">
      <w:bodyDiv w:val="1"/>
      <w:marLeft w:val="0"/>
      <w:marRight w:val="0"/>
      <w:marTop w:val="0"/>
      <w:marBottom w:val="0"/>
      <w:divBdr>
        <w:top w:val="none" w:sz="0" w:space="0" w:color="auto"/>
        <w:left w:val="none" w:sz="0" w:space="0" w:color="auto"/>
        <w:bottom w:val="none" w:sz="0" w:space="0" w:color="auto"/>
        <w:right w:val="none" w:sz="0" w:space="0" w:color="auto"/>
      </w:divBdr>
      <w:divsChild>
        <w:div w:id="2011442633">
          <w:marLeft w:val="624"/>
          <w:marRight w:val="0"/>
          <w:marTop w:val="0"/>
          <w:marBottom w:val="0"/>
          <w:divBdr>
            <w:top w:val="none" w:sz="0" w:space="0" w:color="auto"/>
            <w:left w:val="none" w:sz="0" w:space="0" w:color="auto"/>
            <w:bottom w:val="none" w:sz="0" w:space="0" w:color="auto"/>
            <w:right w:val="none" w:sz="0" w:space="0" w:color="auto"/>
          </w:divBdr>
        </w:div>
        <w:div w:id="384531571">
          <w:marLeft w:val="624"/>
          <w:marRight w:val="0"/>
          <w:marTop w:val="0"/>
          <w:marBottom w:val="0"/>
          <w:divBdr>
            <w:top w:val="none" w:sz="0" w:space="0" w:color="auto"/>
            <w:left w:val="none" w:sz="0" w:space="0" w:color="auto"/>
            <w:bottom w:val="none" w:sz="0" w:space="0" w:color="auto"/>
            <w:right w:val="none" w:sz="0" w:space="0" w:color="auto"/>
          </w:divBdr>
        </w:div>
        <w:div w:id="10377697">
          <w:marLeft w:val="624"/>
          <w:marRight w:val="0"/>
          <w:marTop w:val="0"/>
          <w:marBottom w:val="0"/>
          <w:divBdr>
            <w:top w:val="none" w:sz="0" w:space="0" w:color="auto"/>
            <w:left w:val="none" w:sz="0" w:space="0" w:color="auto"/>
            <w:bottom w:val="none" w:sz="0" w:space="0" w:color="auto"/>
            <w:right w:val="none" w:sz="0" w:space="0" w:color="auto"/>
          </w:divBdr>
        </w:div>
        <w:div w:id="917638665">
          <w:marLeft w:val="624"/>
          <w:marRight w:val="0"/>
          <w:marTop w:val="0"/>
          <w:marBottom w:val="0"/>
          <w:divBdr>
            <w:top w:val="none" w:sz="0" w:space="0" w:color="auto"/>
            <w:left w:val="none" w:sz="0" w:space="0" w:color="auto"/>
            <w:bottom w:val="none" w:sz="0" w:space="0" w:color="auto"/>
            <w:right w:val="none" w:sz="0" w:space="0" w:color="auto"/>
          </w:divBdr>
        </w:div>
        <w:div w:id="2044136320">
          <w:marLeft w:val="624"/>
          <w:marRight w:val="0"/>
          <w:marTop w:val="0"/>
          <w:marBottom w:val="0"/>
          <w:divBdr>
            <w:top w:val="none" w:sz="0" w:space="0" w:color="auto"/>
            <w:left w:val="none" w:sz="0" w:space="0" w:color="auto"/>
            <w:bottom w:val="none" w:sz="0" w:space="0" w:color="auto"/>
            <w:right w:val="none" w:sz="0" w:space="0" w:color="auto"/>
          </w:divBdr>
        </w:div>
        <w:div w:id="1093160947">
          <w:marLeft w:val="624"/>
          <w:marRight w:val="0"/>
          <w:marTop w:val="0"/>
          <w:marBottom w:val="0"/>
          <w:divBdr>
            <w:top w:val="none" w:sz="0" w:space="0" w:color="auto"/>
            <w:left w:val="none" w:sz="0" w:space="0" w:color="auto"/>
            <w:bottom w:val="none" w:sz="0" w:space="0" w:color="auto"/>
            <w:right w:val="none" w:sz="0" w:space="0" w:color="auto"/>
          </w:divBdr>
        </w:div>
      </w:divsChild>
    </w:div>
    <w:div w:id="2026596570">
      <w:bodyDiv w:val="1"/>
      <w:marLeft w:val="0"/>
      <w:marRight w:val="0"/>
      <w:marTop w:val="0"/>
      <w:marBottom w:val="0"/>
      <w:divBdr>
        <w:top w:val="none" w:sz="0" w:space="0" w:color="auto"/>
        <w:left w:val="none" w:sz="0" w:space="0" w:color="auto"/>
        <w:bottom w:val="none" w:sz="0" w:space="0" w:color="auto"/>
        <w:right w:val="none" w:sz="0" w:space="0" w:color="auto"/>
      </w:divBdr>
      <w:divsChild>
        <w:div w:id="942763809">
          <w:marLeft w:val="62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4</Pages>
  <Words>1329</Words>
  <Characters>7845</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AČR</Company>
  <LinksUpToDate>false</LinksUpToDate>
  <CharactersWithSpaces>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Hájek Jan - VÚ 6950 - ŠIS AČR</dc:creator>
  <cp:keywords/>
  <dc:description/>
  <cp:lastModifiedBy>Ondřej Svoboda</cp:lastModifiedBy>
  <cp:revision>30</cp:revision>
  <cp:lastPrinted>2022-07-23T05:41:00Z</cp:lastPrinted>
  <dcterms:created xsi:type="dcterms:W3CDTF">2022-07-29T19:07:00Z</dcterms:created>
  <dcterms:modified xsi:type="dcterms:W3CDTF">2022-09-27T08:37:00Z</dcterms:modified>
</cp:coreProperties>
</file>